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endnotes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0" w:after="0"/>
        <w:jc w:val="center"/>
        <w:rPr>
          <w:rFonts w:ascii="Calibri Light" w:hAnsi="Calibri Light" w:cs="Calibri Light" w:asciiTheme="majorHAnsi" w:cstheme="majorHAnsi" w:hAnsiTheme="majorHAnsi"/>
          <w:b/>
          <w:b/>
          <w:color w:val="000000"/>
        </w:rPr>
      </w:pPr>
      <w:r>
        <w:rPr/>
        <w:drawing>
          <wp:inline distT="0" distB="0" distL="0" distR="0">
            <wp:extent cx="736600" cy="80518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 Light" w:ascii="Calibri Light" w:hAnsi="Calibri Light" w:asciiTheme="majorHAnsi" w:cstheme="majorHAnsi" w:hAnsiTheme="majorHAnsi"/>
          <w:color w:val="000000"/>
        </w:rPr>
        <w:br/>
      </w:r>
      <w:r>
        <w:rPr>
          <w:rFonts w:cs="Calibri Light" w:ascii="Calibri Light" w:hAnsi="Calibri Light" w:asciiTheme="majorHAnsi" w:cstheme="majorHAnsi" w:hAnsiTheme="majorHAnsi"/>
          <w:b/>
          <w:color w:val="FF0000"/>
        </w:rPr>
        <w:t>[ÓRGÃO OU ENTIDADE PÚBLICA]</w:t>
      </w:r>
    </w:p>
    <w:p>
      <w:pPr>
        <w:pStyle w:val="Normal"/>
        <w:spacing w:lineRule="auto" w:line="240" w:before="960" w:after="0"/>
        <w:jc w:val="center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Calibri Light" w:hAnsi="Calibri Light" w:asciiTheme="majorHAnsi" w:cstheme="majorHAnsi" w:hAnsiTheme="majorHAnsi"/>
          <w:b/>
        </w:rPr>
        <w:t>LISTA DE VERIFICAÇÃO</w:t>
      </w:r>
      <w:r>
        <w:rPr>
          <w:rStyle w:val="Ncoradanotadefim"/>
          <w:rFonts w:cs="Calibri Light" w:ascii="Calibri Light" w:hAnsi="Calibri Light" w:asciiTheme="majorHAnsi" w:cstheme="majorHAnsi" w:hAnsiTheme="majorHAnsi"/>
          <w:b/>
        </w:rPr>
        <w:endnoteReference w:id="2"/>
      </w:r>
    </w:p>
    <w:p>
      <w:pPr>
        <w:pStyle w:val="Normal"/>
        <w:spacing w:lineRule="auto" w:line="240" w:before="0" w:after="360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(Adesão à ata de registro de preços – Lei nº 14.133)</w:t>
      </w:r>
    </w:p>
    <w:tbl>
      <w:tblPr>
        <w:tblW w:w="965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5676"/>
        <w:gridCol w:w="2318"/>
        <w:gridCol w:w="1662"/>
      </w:tblGrid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bookmarkStart w:id="0" w:name="table08"/>
            <w:bookmarkEnd w:id="0"/>
            <w:r>
              <w:rPr>
                <w:rFonts w:cs="Calibri" w:cstheme="minorHAnsi"/>
                <w:b/>
                <w:bCs/>
                <w:sz w:val="24"/>
                <w:szCs w:val="24"/>
              </w:rPr>
              <w:t>Aspectos gerais pertinentes à adesão à ata de registro de preços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widowControl w:val="false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Atende plenamente a exigência?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widowControl w:val="false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Houve abertura de processo administrativo?</w:t>
            </w:r>
            <w:r>
              <w:rPr>
                <w:rStyle w:val="Ncoradanotadefim"/>
                <w:rFonts w:cs="Calibri" w:cstheme="minorHAnsi"/>
                <w:bCs/>
                <w:sz w:val="24"/>
                <w:szCs w:val="24"/>
              </w:rPr>
              <w:endnoteReference w:id="3"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id w:val="257906933"/>
              <w:placeholder>
                <w:docPart w:val="62AF2B31E8C64DA691C79A50AD3A5AFF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Foi adotada a forma eletrônica para o processo administrativo ou, caso adotada forma em papel, houve a devida justificativa?</w:t>
            </w:r>
            <w:r>
              <w:rPr>
                <w:rStyle w:val="Ncoradanotadefim"/>
                <w:rFonts w:cs="Calibri" w:cstheme="minorHAnsi"/>
                <w:bCs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color="auto" w:fill="FFF2CC" w:themeFill="accent4" w:themeFillTint="33" w:val="clear"/>
          </w:tcPr>
          <w:sdt>
            <w:sdtPr>
              <w:id w:val="914112073"/>
              <w:placeholder>
                <w:docPart w:val="7D3269EE2E6E40DAA69ABEF75F0571E9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Consta documento de formalização de demanda?</w:t>
            </w:r>
            <w:r>
              <w:rPr>
                <w:rStyle w:val="Ncoradanotadefim"/>
                <w:rFonts w:cs="Calibri" w:cstheme="minorHAnsi"/>
                <w:bCs/>
                <w:sz w:val="24"/>
                <w:szCs w:val="24"/>
                <w:vertAlign w:val="superscript"/>
              </w:rPr>
              <w:endnoteReference w:id="5"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id w:val="1072119221"/>
              <w:placeholder>
                <w:docPart w:val="7ABD8F87EE6A46C7ACC1F0834EC5EBC5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Foi certificado que objeto da contratação está contemplado no Plano de Contratações Anual?</w:t>
            </w:r>
            <w:r>
              <w:rPr>
                <w:rStyle w:val="Ncoradanotadefim"/>
                <w:rFonts w:cs="Calibri" w:cstheme="minorHAnsi"/>
                <w:bCs/>
                <w:sz w:val="24"/>
                <w:szCs w:val="24"/>
                <w:vertAlign w:val="superscript"/>
              </w:rPr>
              <w:endnoteReference w:id="6"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color="auto" w:fill="FFF2CC" w:themeFill="accent4" w:themeFillTint="33" w:val="clear"/>
          </w:tcPr>
          <w:sdt>
            <w:sdtPr>
              <w:id w:val="1181867888"/>
              <w:placeholder>
                <w:docPart w:val="C4CB4DABCD7A4D23848453F0F8ACFED9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Foi certificado que objeto da contratação está compatível com as leis orçamentárias?</w:t>
            </w:r>
            <w:r>
              <w:rPr>
                <w:rStyle w:val="Ncoradanotadefim"/>
                <w:rFonts w:cs="Calibri" w:cstheme="minorHAnsi"/>
                <w:bCs/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id w:val="863545336"/>
              <w:placeholder>
                <w:docPart w:val="E8C4C0DA02C04F15AADCD02988E585DB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Há Estudo Técnico Preliminar?</w:t>
            </w:r>
            <w:r>
              <w:rPr>
                <w:rStyle w:val="Ncoradanotadefim"/>
                <w:rFonts w:cs="Calibri" w:cstheme="minorHAnsi"/>
                <w:bCs/>
                <w:sz w:val="24"/>
                <w:szCs w:val="24"/>
                <w:vertAlign w:val="superscript"/>
              </w:rPr>
              <w:endnoteReference w:id="8"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color="auto" w:fill="FFF2CC" w:themeFill="accent4" w:themeFillTint="33" w:val="clear"/>
          </w:tcPr>
          <w:sdt>
            <w:sdtPr>
              <w:id w:val="1424913733"/>
              <w:placeholder>
                <w:docPart w:val="E87EAE4AB38A4043BFD57A4B6046186E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O estudo técnico preliminar contém as informações que bem caracterizam a contratação, tais como o quantitativo demandado e o local de entrega do bem ou de prestação do serviço, conforme art. 11, parágrafo único, da IN SEGES/ME nº 81/2022?</w:t>
            </w:r>
            <w:r>
              <w:rPr>
                <w:rFonts w:cs="Calibri" w:cstheme="minorHAnsi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Ncoradanotadefim"/>
                <w:rFonts w:cs="Calibri" w:cstheme="minorHAnsi"/>
                <w:bCs/>
                <w:sz w:val="24"/>
                <w:szCs w:val="24"/>
                <w:vertAlign w:val="superscript"/>
              </w:rPr>
              <w:endnoteReference w:id="9"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id w:val="1117071205"/>
              <w:placeholder>
                <w:docPart w:val="6A82C7CAA5B0445C870673443C51376D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Foi apresentada justificativa da vantagem da adesão, conforme art. 31, I, do Decreto n. 11.462/2023?</w:t>
            </w:r>
            <w:r>
              <w:rPr>
                <w:rStyle w:val="Ncoradanotadefim"/>
                <w:rFonts w:cs="Calibri" w:cstheme="minorHAnsi"/>
                <w:sz w:val="24"/>
                <w:szCs w:val="24"/>
              </w:rPr>
              <w:endnoteReference w:id="10"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color="auto" w:fill="FFF2CC" w:themeFill="accent4" w:themeFillTint="33" w:val="clear"/>
          </w:tcPr>
          <w:sdt>
            <w:sdtPr>
              <w:id w:val="480666194"/>
              <w:placeholder>
                <w:docPart w:val="E9D56185B18C45549981C962EFFF3C36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Os valores registrados estão compatíveis com os valores praticados pelo mercado (art. 86, §2º, II, da Lei n. 14.133/2021 e art. 31, II, do Decreto n. 11.462/2023)?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id w:val="1778106781"/>
              <w:placeholder>
                <w:docPart w:val="2791183C899541FA9F5D296ED9955034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O fornecedor aceitou o pedido de adesão (art. 86, §2º, III, da Lei n. 14.133/2021 e art. 31, III, § 1º, do Decreto n. 11.462/2023)?</w:t>
            </w:r>
            <w:r>
              <w:rPr>
                <w:rStyle w:val="Ncoradanotadefim"/>
                <w:rFonts w:cs="Calibri" w:cstheme="minorHAnsi"/>
                <w:sz w:val="24"/>
                <w:szCs w:val="24"/>
              </w:rPr>
              <w:endnoteReference w:id="11"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color="auto" w:fill="FFF2CC" w:themeFill="accent4" w:themeFillTint="33" w:val="clear"/>
          </w:tcPr>
          <w:sdt>
            <w:sdtPr>
              <w:id w:val="347910826"/>
              <w:placeholder>
                <w:docPart w:val="449EBD8883E6495FAD8B271613734597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Houve aceitação da adesão pelo órgão ou entidade gerenciadora, nos termos do art. 31, III, do Decreto n. 11.462/2023?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id w:val="105203947"/>
              <w:placeholder>
                <w:docPart w:val="8662F07B1A7D4DDA91CE87C3AEF4CF68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 ata a que se pretende aderir é gerenciada por órgão ou entidade da Administração Pública federal? (art. 86, §8º, da Lei n. 14.133/2021 e art. 33 do Decreto n. 11.462/2023)</w:t>
            </w:r>
          </w:p>
        </w:tc>
        <w:tc>
          <w:tcPr>
            <w:tcW w:w="2318" w:type="dxa"/>
            <w:tcBorders>
              <w:top w:val="single" w:sz="4" w:space="0" w:color="000000"/>
            </w:tcBorders>
            <w:shd w:color="auto" w:fill="FFF2CC" w:themeFill="accent4" w:themeFillTint="33" w:val="clear"/>
          </w:tcPr>
          <w:sdt>
            <w:sdtPr>
              <w:id w:val="1611651564"/>
              <w:placeholder>
                <w:docPart w:val="692BF910E2B14F919F893EF545A37E91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Foi observado o limite de 50% (cinquenta por cento) dos quantitativos registrados na ata de registro de preços para o órgão gerenciador e para os órgãos participantes (art. 86, §4º, Lei n. 14.133/21)?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id w:val="1629543933"/>
              <w:placeholder>
                <w:docPart w:val="0FE70379138C48A59CA90FE371F9CE84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rPr>
                <w:rFonts w:eastAsia="Zurich BT" w:cs="Calibri" w:cstheme="minorHAnsi"/>
                <w:sz w:val="24"/>
                <w:szCs w:val="24"/>
              </w:rPr>
            </w:pPr>
            <w:r>
              <w:rPr>
                <w:rFonts w:eastAsia="Zurich BT" w:cs="Calibri" w:cstheme="minorHAnsi"/>
                <w:sz w:val="24"/>
                <w:szCs w:val="24"/>
              </w:rPr>
              <w:t>A adesão será formalizada dentro do prazo de 90 dias, contado da autorização do órgão ou da entidade gerenciadora, observado o prazo de vigência da ata (art. 31, §2º, do Decreto n. 11.462/2023)?</w:t>
            </w:r>
            <w:r>
              <w:rPr>
                <w:rStyle w:val="Ncoradanotadefim"/>
                <w:rFonts w:eastAsia="Zurich BT" w:cs="Calibri" w:cstheme="minorHAnsi"/>
                <w:sz w:val="24"/>
                <w:szCs w:val="24"/>
                <w:vertAlign w:val="superscript"/>
              </w:rPr>
              <w:endnoteReference w:id="12"/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color="auto" w:fill="FFF2CC" w:themeFill="accent4" w:themeFillTint="33" w:val="clear"/>
          </w:tcPr>
          <w:sdt>
            <w:sdtPr>
              <w:id w:val="769114711"/>
              <w:placeholder>
                <w:docPart w:val="09A528CE11C343EEBA633173EBA4A616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 contratação será formalizada por instrumento contratual, emissão de nota de empenho de despesa, autorização de compra ou outro instrumento hábil (art. 34 do Decreto n. 11.462/2023)?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id w:val="1049285004"/>
              <w:placeholder>
                <w:docPart w:val="7FF076F3D32C45C8B19BF92FCB0B959C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O instrumento que será adotado será firmado dentro do prazo de validade da ata de registro de preços (art. 34, parágrafo único, do Decreto n. 11.462/2023)?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color="auto" w:fill="FFF2CC" w:themeFill="accent4" w:themeFillTint="33" w:val="clear"/>
          </w:tcPr>
          <w:sdt>
            <w:sdtPr>
              <w:id w:val="1389842467"/>
              <w:placeholder>
                <w:docPart w:val="C06F2736251C47949DE8FA08D55126BD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Foram consultados todos os sistemas de consulta abaixo e juntados aos autos os respectivos comprovantes relacionados ao fornecedor?</w:t>
            </w:r>
          </w:p>
          <w:p>
            <w:pPr>
              <w:pStyle w:val="Normal"/>
              <w:widowControl w:val="false"/>
              <w:spacing w:lineRule="auto" w:line="240"/>
              <w:ind w:left="708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a) SICAF;  </w:t>
            </w:r>
          </w:p>
          <w:p>
            <w:pPr>
              <w:pStyle w:val="Normal"/>
              <w:widowControl w:val="false"/>
              <w:spacing w:lineRule="auto" w:line="240"/>
              <w:ind w:left="708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b) Cadastro Nacional de Empresas Inidôneas e Suspensas - CEIS, mantido pela Controladoria-Geral da União (www.portaldatransparencia.gov.br/ceis);  </w:t>
            </w:r>
          </w:p>
          <w:p>
            <w:pPr>
              <w:pStyle w:val="Normal"/>
              <w:widowControl w:val="false"/>
              <w:spacing w:lineRule="auto" w:line="240"/>
              <w:ind w:left="708" w:hanging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c) Cadastro Nacional de Condenações Cíveis por Atos de Improbidade Administrativa, mantido pelo Conselho Nacional de Justiça (www.cnj.jus.br/improbidade_adm/consultar_requerido.php).  </w:t>
            </w:r>
          </w:p>
          <w:p>
            <w:pPr>
              <w:pStyle w:val="Normal"/>
              <w:widowControl w:val="false"/>
              <w:spacing w:lineRule="auto" w:line="240"/>
              <w:ind w:left="708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d) Lista de Inidôneos, mantida pelo Tribunal de Contas da União – TCU (https://contas.tcu.gov.br/ords/f?p=INABILITADO:INIDONEOS);</w:t>
            </w:r>
            <w:r>
              <w:rPr>
                <w:rStyle w:val="Ncoradanotadefim"/>
                <w:rFonts w:cs="Calibri" w:cstheme="minorHAnsi"/>
                <w:sz w:val="24"/>
                <w:szCs w:val="24"/>
              </w:rPr>
              <w:endnoteReference w:id="13"/>
            </w: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id w:val="1860321297"/>
              <w:placeholder>
                <w:docPart w:val="D6E7181FC2DA4C4EAFE4FD8435844DA8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Consta dos autos consulta ao CADIN?</w:t>
            </w:r>
            <w:r>
              <w:rPr>
                <w:rStyle w:val="Ncoradanotadefim"/>
                <w:rFonts w:cs="Calibri" w:cstheme="minorHAnsi"/>
                <w:sz w:val="24"/>
                <w:szCs w:val="24"/>
                <w:vertAlign w:val="superscript"/>
              </w:rPr>
              <w:endnoteReference w:id="14"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color="auto" w:fill="FFF2CC" w:themeFill="accent4" w:themeFillTint="33" w:val="clear"/>
          </w:tcPr>
          <w:sdt>
            <w:sdtPr>
              <w:id w:val="49446934"/>
              <w:placeholder>
                <w:docPart w:val="CB3D65499DAE4A158EE06A068D7002A7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5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/>
              <w:ind w:left="0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</w:rPr>
              <w:t>Foi consultado o Guia Nacional de Contratações Sustentáveis da Consultoria Geral da União para inserção dos critérios de sustentabilidade?</w:t>
            </w:r>
            <w:r>
              <w:rPr>
                <w:rStyle w:val="Ncoradanotadefim"/>
                <w:rFonts w:cs="Calibri" w:cstheme="minorHAnsi"/>
              </w:rPr>
              <w:endnoteReference w:id="15"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sdt>
            <w:sdtPr>
              <w:id w:val="696012377"/>
              <w:placeholder>
                <w:docPart w:val="78899658F63B4D0683E4BB48E2E8EE06"/>
              </w:placeholder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rFonts w:cs="Calibri" w:cstheme="minorHAnsi"/>
                    <w:sz w:val="24"/>
                    <w:szCs w:val="24"/>
                  </w:rPr>
                </w:pPr>
                <w:sdt>
                  <w:sdtPr>
                    <w:alias w:val=""/>
                    <w:dropDownList w:lastValue="3">
                      <w:listItem w:value="Sim" w:displayText="Sim"/>
                      <w:listItem w:value="Não" w:displayText="Não"/>
                      <w:listItem w:value="Não se aplica" w:displayText="Não se aplica"/>
                      <w:listItem w:value="Resposta" w:displayText="Resposta"/>
                    </w:dropDownList>
                  </w:sdtPr>
                  <w:sdtContent>
                    <w:r>
                      <w:rPr/>
                    </w:r>
                    <w:r>
                      <w:t>Resposta</w:t>
                    </w:r>
                  </w:sdtContent>
                </w:sdt>
              </w:p>
            </w:sdtContent>
          </w:sdt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ind w:left="-567" w:hanging="0"/>
        <w:rPr>
          <w:rFonts w:cs="Calibri" w:cstheme="minorHAnsi"/>
          <w:sz w:val="24"/>
          <w:szCs w:val="24"/>
        </w:rPr>
      </w:pPr>
      <w:r>
        <w:rPr/>
      </w:r>
    </w:p>
    <w:sectPr>
      <w:footerReference w:type="default" r:id="rId3"/>
      <w:endnotePr>
        <w:numFmt w:val="decimal"/>
      </w:endnotePr>
      <w:type w:val="nextPage"/>
      <w:pgSz w:w="11906" w:h="16838"/>
      <w:pgMar w:left="1701" w:right="1701" w:gutter="0" w:header="0" w:top="1418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tadefim"/>
        <w:ind w:left="-567" w:hanging="0"/>
        <w:jc w:val="both"/>
        <w:rPr>
          <w:rFonts w:cs="Calibri" w:cstheme="minorHAnsi"/>
        </w:rPr>
      </w:pPr>
      <w:r>
        <w:rPr>
          <w:rStyle w:val="Caracteresdenotadefim"/>
        </w:rPr>
        <w:endnoteRef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A presente lista de verificação foi elaborada com base na disciplina conferida pela Lei nº 14.133/21 para contratação de obras e serviços de engenharia.</w:t>
      </w:r>
    </w:p>
    <w:p>
      <w:pPr>
        <w:pStyle w:val="Notadefim"/>
        <w:ind w:left="-567" w:hanging="0"/>
        <w:jc w:val="both"/>
        <w:rPr>
          <w:rFonts w:cs="Calibri" w:cstheme="minorHAnsi"/>
        </w:rPr>
      </w:pPr>
      <w:r>
        <w:rPr>
          <w:rFonts w:cs="Calibri" w:cstheme="minorHAnsi"/>
        </w:rPr>
        <w:t>A presente lista pressupõe a utilização dos modelos de editais, contratos e termos de referência elaborados pela CNMLC em conjunto com a SEGES/ME, uma vez que tais modelos cumprem os requisitos legais essenciais, dispensando sua verificação específica.</w:t>
      </w:r>
    </w:p>
    <w:p>
      <w:pPr>
        <w:pStyle w:val="Notadefim"/>
        <w:ind w:left="-567" w:hanging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 lista deve ser preenchida pelo órgão contratante como instrumento de transparência e eficiência durante a fase de instrução do processo para permitir a conferência das exigências mínimas nela contidas, devendo ser juntada ao processo antes da remessa ao órgão de assessoramento jurídico. </w:t>
      </w:r>
    </w:p>
    <w:p>
      <w:pPr>
        <w:pStyle w:val="Notadefim"/>
        <w:ind w:left="-567" w:hanging="0"/>
        <w:jc w:val="both"/>
        <w:rPr>
          <w:rFonts w:cs="Calibri" w:cstheme="minorHAnsi"/>
        </w:rPr>
      </w:pPr>
      <w:r>
        <w:rPr>
          <w:rFonts w:cs="Calibri" w:cstheme="minorHAnsi"/>
        </w:rPr>
        <w:t>A coluna “Atende plenamente a exigência?” deverá ser preenchida apenas com as respostas pré-definidas no formulário, sendo:</w:t>
      </w:r>
    </w:p>
    <w:p>
      <w:pPr>
        <w:pStyle w:val="Notadefim"/>
        <w:ind w:left="-567" w:hanging="0"/>
        <w:jc w:val="both"/>
        <w:rPr>
          <w:rFonts w:cs="Calibri" w:cstheme="minorHAnsi"/>
        </w:rPr>
      </w:pPr>
      <w:r>
        <w:rPr>
          <w:rFonts w:cs="Calibri" w:cstheme="minorHAnsi"/>
        </w:rPr>
        <w:t>Sim: atende plenamente a exigência</w:t>
      </w:r>
    </w:p>
    <w:p>
      <w:pPr>
        <w:pStyle w:val="Notadefim"/>
        <w:ind w:left="-567" w:hanging="0"/>
        <w:jc w:val="both"/>
        <w:rPr>
          <w:rFonts w:cs="Calibri" w:cstheme="minorHAnsi"/>
        </w:rPr>
      </w:pPr>
      <w:r>
        <w:rPr>
          <w:rFonts w:cs="Calibri" w:cstheme="minorHAnsi"/>
        </w:rPr>
        <w:t>Não: não atende plenamente a exigência</w:t>
      </w:r>
    </w:p>
    <w:p>
      <w:pPr>
        <w:pStyle w:val="Notadefim"/>
        <w:ind w:left="-567" w:hanging="0"/>
        <w:jc w:val="both"/>
        <w:rPr>
          <w:rFonts w:cs="Calibri" w:cstheme="minorHAnsi"/>
        </w:rPr>
      </w:pPr>
      <w:r>
        <w:rPr>
          <w:rFonts w:cs="Calibri" w:cstheme="minorHAnsi"/>
        </w:rPr>
        <w:t>Não se aplica: a exigência não é feita para o caso analisado</w:t>
      </w:r>
    </w:p>
    <w:p>
      <w:pPr>
        <w:pStyle w:val="Notadefim"/>
        <w:ind w:left="-567" w:hanging="0"/>
        <w:jc w:val="both"/>
        <w:rPr>
          <w:rFonts w:cs="Calibri" w:cstheme="minorHAnsi"/>
        </w:rPr>
      </w:pPr>
      <w:r>
        <w:rPr>
          <w:rFonts w:cs="Calibri" w:cstheme="minorHAnsi"/>
        </w:rPr>
        <w:t>Na utilização das listas deverão ser analisadas as consequências para cada negativa, se pode ser suprida mediante justificativa ou enquadramentos específicos, ou se deve haver complementação da instrução.</w:t>
      </w:r>
    </w:p>
    <w:p>
      <w:pPr>
        <w:pStyle w:val="Notadefim"/>
        <w:ind w:left="-567" w:hanging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Eventuais sugestões de alteração de texto desta lista poderão ser encaminhadas ao e-mail: </w:t>
      </w:r>
      <w:hyperlink r:id="rId1">
        <w:r>
          <w:rPr>
            <w:rStyle w:val="LinkdaInternet"/>
            <w:rFonts w:cs="Calibri" w:cstheme="minorHAnsi"/>
          </w:rPr>
          <w:t>cgu.modeloscontratacao@agu.gov.br</w:t>
        </w:r>
      </w:hyperlink>
      <w:r>
        <w:rPr>
          <w:rFonts w:cs="Calibri" w:cstheme="minorHAnsi"/>
        </w:rPr>
        <w:t>.</w:t>
      </w:r>
    </w:p>
  </w:endnote>
  <w:endnote w:id="3">
    <w:p>
      <w:pPr>
        <w:pStyle w:val="Notadefim"/>
        <w:ind w:left="-567" w:hanging="0"/>
        <w:jc w:val="both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/>
        <w:t xml:space="preserve">Obs.: Dispõe a ON-AGU 2/2009: “os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 </w:t>
      </w:r>
    </w:p>
  </w:endnote>
  <w:endnote w:id="4">
    <w:p>
      <w:pPr>
        <w:pStyle w:val="Notadefim"/>
        <w:ind w:left="-567" w:hanging="0"/>
        <w:jc w:val="both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/>
        <w:t>Decreto nº 8.539/2015 e art. 12, VI, da Lei 14133/21</w:t>
      </w:r>
    </w:p>
  </w:endnote>
  <w:endnote w:id="5">
    <w:p>
      <w:pPr>
        <w:pStyle w:val="Notadefim"/>
        <w:ind w:left="-567" w:hanging="0"/>
        <w:jc w:val="both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/>
        <w:t>O DFD é documento obrigatório que deve constar em qualquer processo de contratação, conforme art. 12, VII, e art. 72, I, da Lei 14133/21. A regra é que o DFD já tenha sido elaborado para os fins do PCA. Neste caso, é salutar que haja a juntada de sua cópia nos autos. Entretanto, nos casos previstos no art. 7º do Decreto nº 10.947/22, há a dispensa do registro da contratação no plano anual, o que implica na não elaboração, naquela oportunidade, do DFD. Então, nesta hipótese, o DFD constará apenas do processo de contratação direta, conforme art. 12, VII e §1º, da Lei 14133/21 e art. 7º do Decreto 10947/22, já citados.</w:t>
      </w:r>
    </w:p>
  </w:endnote>
  <w:endnote w:id="6">
    <w:p>
      <w:pPr>
        <w:pStyle w:val="Notadefim"/>
        <w:ind w:left="-567" w:hanging="0"/>
        <w:jc w:val="both"/>
        <w:rPr/>
      </w:pPr>
      <w:r>
        <w:rPr>
          <w:rStyle w:val="Caracteresdenotadefim"/>
        </w:rPr>
        <w:endnoteRef/>
      </w:r>
      <w:r>
        <w:rPr/>
        <w:t>. Destaque-se que, para as contratações da Lei nº 14133/21, aplica-se, quanto ao Plano de Contratações Anual, apenas o Decreto nº 10947/22 e não a IN SEGES/ME nº 1/2019, conforme Nota n. 00001/2021/CNMLC/CGU/AGU. Quanto a esse Decreto, atentar para as exceções da obrigatoriedade de registro dispostas no seu art. 7º, informações classificadas como sigilosas, as contratações feitas por suprimento de fundos e pequenas compras e serviços de pronto pagamento do art. 95, §2º, todos da Lei nº 14133/21.</w:t>
      </w:r>
    </w:p>
  </w:endnote>
  <w:endnote w:id="7">
    <w:p>
      <w:pPr>
        <w:pStyle w:val="Notadefim"/>
        <w:ind w:left="-567" w:hanging="0"/>
        <w:jc w:val="both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/>
        <w:t>Art. 18 da Lei 14133/21</w:t>
      </w:r>
    </w:p>
  </w:endnote>
  <w:endnote w:id="8">
    <w:p>
      <w:pPr>
        <w:pStyle w:val="Notadefim"/>
        <w:ind w:left="-567" w:hanging="0"/>
        <w:jc w:val="both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/>
        <w:t>Art. 18, §1º, da Lei 14133/21</w:t>
      </w:r>
    </w:p>
  </w:endnote>
  <w:endnote w:id="9">
    <w:p>
      <w:pPr>
        <w:pStyle w:val="Notadefim"/>
        <w:ind w:left="-567" w:hanging="0"/>
        <w:jc w:val="both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>
          <w:rFonts w:cs="Calibri" w:cstheme="minorHAnsi"/>
        </w:rPr>
        <w:t xml:space="preserve">Ressalte-se que, nos termos do art. 11, </w:t>
      </w:r>
      <w:r>
        <w:rPr>
          <w:rFonts w:cs="Calibri" w:cstheme="minorHAnsi"/>
          <w:i/>
          <w:iCs/>
        </w:rPr>
        <w:t>caput</w:t>
      </w:r>
      <w:r>
        <w:rPr>
          <w:rFonts w:cs="Calibri" w:cstheme="minorHAnsi"/>
        </w:rPr>
        <w:t xml:space="preserve">, da IN SEGES ME nº 81/2022, a elaboração do termo de referência é “dispensada na hipótese do inciso III do art. 75 da Lei nº 14.133, de 2021, </w:t>
      </w:r>
      <w:r>
        <w:rPr>
          <w:rFonts w:cs="Calibri" w:cstheme="minorHAnsi"/>
          <w:u w:val="single"/>
        </w:rPr>
        <w:t>nas adesões a atas de registro de preços</w:t>
      </w:r>
      <w:r>
        <w:rPr>
          <w:rFonts w:cs="Calibri" w:cstheme="minorHAnsi"/>
        </w:rPr>
        <w:t xml:space="preserve"> e nos casos de prorrogações dos contratos de serviços e fornecimentos contínuos”.</w:t>
      </w:r>
    </w:p>
  </w:endnote>
  <w:endnote w:id="10">
    <w:p>
      <w:pPr>
        <w:pStyle w:val="Notadefim"/>
        <w:ind w:left="-567" w:hanging="0"/>
        <w:jc w:val="both"/>
        <w:rPr>
          <w:rFonts w:cs="Calibri" w:cstheme="minorHAnsi"/>
        </w:rPr>
      </w:pPr>
      <w:r>
        <w:rPr>
          <w:rStyle w:val="Caracteresdenotadefim"/>
        </w:rPr>
        <w:endnoteRef/>
      </w:r>
      <w:r>
        <w:rPr/>
        <w:t xml:space="preserve"> </w:t>
      </w:r>
      <w:r>
        <w:rPr>
          <w:rFonts w:cs="Calibri" w:cstheme="minorHAnsi"/>
        </w:rPr>
        <w:t>A lei admite adesão inclusive para provável desabastecimento ou descontinuidade de serviço público (art. 86, §2º, I, da Lei n. 14.133/2021). Embora o rol do art. 3º do Decreto nº 11.462/2023 seja exemplificativo, é necessária a apresentação da justificativa da vantagem e pertinência da adesão.</w:t>
      </w:r>
    </w:p>
  </w:endnote>
  <w:endnote w:id="11">
    <w:p>
      <w:pPr>
        <w:pStyle w:val="Notadefim"/>
        <w:ind w:left="-567" w:hanging="0"/>
        <w:jc w:val="both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>
          <w:rFonts w:cs="Calibri" w:cstheme="minorHAnsi"/>
        </w:rPr>
        <w:t>A autorização do órgão ou da entidade gerenciadora apenas será realizada após a aceitação da adesão pelo fornecedor (art. 31, §1º, do Decreto n. 11.462/2023).</w:t>
      </w:r>
    </w:p>
  </w:endnote>
  <w:endnote w:id="12">
    <w:p>
      <w:pPr>
        <w:pStyle w:val="Notadefim"/>
        <w:ind w:left="-567" w:hanging="0"/>
        <w:jc w:val="both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>
          <w:rFonts w:cs="Calibri" w:cstheme="minorHAnsi"/>
        </w:rPr>
        <w:t>Em caso de necessidade de prorrogação desse prazo de 90 dias, deverá ser obtida a autorização do órgão ou entidade gerenciadora (art. 31, §2º, do Decreto n. 11.462/2023).</w:t>
      </w:r>
    </w:p>
  </w:endnote>
  <w:endnote w:id="13">
    <w:p>
      <w:pPr>
        <w:pStyle w:val="Notadefim"/>
        <w:ind w:left="-567" w:hanging="0"/>
        <w:rPr>
          <w:rFonts w:cs="Calibri" w:cstheme="minorHAnsi"/>
        </w:rPr>
      </w:pPr>
      <w:r>
        <w:rPr>
          <w:rStyle w:val="Caracteresdenotadefim"/>
        </w:rPr>
        <w:endnoteRef/>
      </w:r>
      <w:r>
        <w:rPr/>
        <w:t xml:space="preserve"> </w:t>
      </w:r>
      <w:r>
        <w:rPr>
          <w:rFonts w:cs="Calibri" w:cstheme="minorHAnsi"/>
        </w:rPr>
        <w:t>Para a consulta de licitantes pessoa jurídica poderá haver a substituição das consultas das alíneas “b”, “c” e “d” acima pela Consulta Consolidada de Pessoa Jurídica do TCU (</w:t>
      </w:r>
      <w:hyperlink r:id="rId2">
        <w:r>
          <w:rPr>
            <w:rStyle w:val="LinkdaInternet"/>
            <w:rFonts w:cs="Calibri" w:cstheme="minorHAnsi"/>
          </w:rPr>
          <w:t>https://certidoes-apf.apps.tcu.gov.br/</w:t>
        </w:r>
      </w:hyperlink>
      <w:r>
        <w:rPr>
          <w:rFonts w:cs="Calibri" w:cstheme="minorHAnsi"/>
        </w:rPr>
        <w:t>).</w:t>
      </w:r>
    </w:p>
  </w:endnote>
  <w:endnote w:id="14">
    <w:p>
      <w:pPr>
        <w:pStyle w:val="Notadefim"/>
        <w:ind w:left="-567" w:hanging="0"/>
        <w:jc w:val="both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>
          <w:rFonts w:cs="Calibri" w:cstheme="minorHAnsi"/>
        </w:rPr>
        <w:t>Lei 10.522, de 19.7.2002, art. 6º, inciso III; TCU, Acórdão 6.246/2010 - 2ª Câmara, de 26.10.2010.</w:t>
      </w:r>
    </w:p>
  </w:endnote>
  <w:endnote w:id="15">
    <w:p>
      <w:pPr>
        <w:pStyle w:val="Notadefim"/>
        <w:ind w:left="-567" w:hanging="0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/>
        <w:t xml:space="preserve">Disponível em </w:t>
      </w:r>
      <w:hyperlink r:id="rId3">
        <w:r>
          <w:rPr>
            <w:rStyle w:val="LinkdaInternet"/>
          </w:rPr>
          <w:t>https://www.gov.br/agu/pt-br/composicao/cgu/cgu/guias/guia-de-contratacoes-sustentaveis-set-2023.pdf</w:t>
        </w:r>
      </w:hyperlink>
      <w:r>
        <w:rPr/>
        <w:t>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>
    <w:pPr>
      <w:pStyle w:val="Rodap"/>
      <w:rPr>
        <w:sz w:val="15"/>
        <w:szCs w:val="15"/>
      </w:rPr>
    </w:pPr>
    <w:r>
      <w:rPr>
        <w:sz w:val="15"/>
        <w:szCs w:val="15"/>
      </w:rPr>
      <w:t>Modelo de Lista de Verificação de Adesão à Ata de Registro de Preços. Lei nº 14.133, de 2021</w:t>
    </w:r>
  </w:p>
  <w:p>
    <w:pPr>
      <w:pStyle w:val="Rodap"/>
      <w:rPr>
        <w:sz w:val="15"/>
        <w:szCs w:val="15"/>
      </w:rPr>
    </w:pPr>
    <w:r>
      <w:rPr>
        <w:sz w:val="15"/>
        <w:szCs w:val="15"/>
      </w:rPr>
      <w:t>Atualização: SET/2024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540a"/>
    <w:pPr>
      <w:widowControl w:val="fals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pargrafoParecerChar" w:customStyle="1">
    <w:name w:val="L_parágrafo_Parecer Char"/>
    <w:basedOn w:val="CabealhoChar"/>
    <w:link w:val="LpargrafoParecer"/>
    <w:qFormat/>
    <w:rsid w:val="00b533f5"/>
    <w:rPr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b533f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2cc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2c2ccc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c2ccc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c2ccc"/>
    <w:rPr>
      <w:rFonts w:ascii="Segoe UI" w:hAnsi="Segoe UI" w:cs="Segoe UI"/>
      <w:sz w:val="18"/>
      <w:szCs w:val="18"/>
    </w:rPr>
  </w:style>
  <w:style w:type="character" w:styleId="LinkdaInternet">
    <w:name w:val="Link da Internet"/>
    <w:uiPriority w:val="99"/>
    <w:unhideWhenUsed/>
    <w:rsid w:val="00fe2a42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3833d5"/>
    <w:rPr/>
  </w:style>
  <w:style w:type="character" w:styleId="Eop" w:customStyle="1">
    <w:name w:val="eop"/>
    <w:basedOn w:val="DefaultParagraphFont"/>
    <w:qFormat/>
    <w:rsid w:val="003f3978"/>
    <w:rPr/>
  </w:style>
  <w:style w:type="character" w:styleId="Linkdainternetvisitado">
    <w:name w:val="Link da internet visitado"/>
    <w:basedOn w:val="DefaultParagraphFont"/>
    <w:uiPriority w:val="99"/>
    <w:semiHidden/>
    <w:unhideWhenUsed/>
    <w:rsid w:val="009d0901"/>
    <w:rPr>
      <w:color w:val="954F72" w:themeColor="followedHyperlink"/>
      <w:u w:val="single"/>
    </w:rPr>
  </w:style>
  <w:style w:type="character" w:styleId="Nfase">
    <w:name w:val="Ênfase"/>
    <w:basedOn w:val="DefaultParagraphFont"/>
    <w:uiPriority w:val="20"/>
    <w:qFormat/>
    <w:rsid w:val="004c158a"/>
    <w:rPr>
      <w:i/>
      <w:iCs/>
    </w:rPr>
  </w:style>
  <w:style w:type="character" w:styleId="Strong">
    <w:name w:val="Strong"/>
    <w:basedOn w:val="DefaultParagraphFont"/>
    <w:uiPriority w:val="22"/>
    <w:qFormat/>
    <w:rsid w:val="00003fab"/>
    <w:rPr>
      <w:b/>
      <w:bCs/>
    </w:rPr>
  </w:style>
  <w:style w:type="character" w:styleId="RodapChar" w:customStyle="1">
    <w:name w:val="Rodapé Char"/>
    <w:basedOn w:val="DefaultParagraphFont"/>
    <w:qFormat/>
    <w:rsid w:val="00864b2e"/>
    <w:rPr/>
  </w:style>
  <w:style w:type="character" w:styleId="TextodenotadefimChar" w:customStyle="1">
    <w:name w:val="Texto de nota de fim Char"/>
    <w:basedOn w:val="DefaultParagraphFont"/>
    <w:uiPriority w:val="99"/>
    <w:qFormat/>
    <w:rsid w:val="00623e99"/>
    <w:rPr>
      <w:sz w:val="20"/>
      <w:szCs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23e99"/>
    <w:rPr>
      <w:vertAlign w:val="superscript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e33246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3324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c62acc"/>
    <w:rPr>
      <w:color w:val="808080"/>
    </w:rPr>
  </w:style>
  <w:style w:type="character" w:styleId="Caracteresdenotadefim">
    <w:name w:val="Caracteres de nota de fim"/>
    <w:qFormat/>
    <w:rPr/>
  </w:style>
  <w:style w:type="character" w:styleId="Caracteresdenotaderodap">
    <w:name w:val="Caracteres de nota de rodapé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pargrafoParecer" w:customStyle="1">
    <w:name w:val="L_parágrafo_Parecer"/>
    <w:basedOn w:val="Cabealho"/>
    <w:link w:val="LpargrafoParecerChar"/>
    <w:autoRedefine/>
    <w:qFormat/>
    <w:rsid w:val="00b533f5"/>
    <w:pPr>
      <w:numPr>
        <w:ilvl w:val="0"/>
        <w:numId w:val="1"/>
      </w:numPr>
      <w:tabs>
        <w:tab w:val="clear" w:pos="4252"/>
        <w:tab w:val="clear" w:pos="8504"/>
        <w:tab w:val="left" w:pos="1418" w:leader="none"/>
      </w:tabs>
      <w:spacing w:before="0" w:after="240"/>
      <w:ind w:left="0" w:hanging="0"/>
      <w:jc w:val="both"/>
    </w:pPr>
    <w:rPr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33f5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2c2cc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c2cc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2ccc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457"/>
    <w:pPr>
      <w:spacing w:before="0" w:after="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3833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a8060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ONormal" w:customStyle="1">
    <w:name w:val="LO-Normal"/>
    <w:qFormat/>
    <w:rsid w:val="005e4e8e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0"/>
      <w:sz w:val="24"/>
      <w:szCs w:val="24"/>
      <w:lang w:eastAsia="zh-CN" w:bidi="hi-IN" w:val="pt-BR"/>
    </w:rPr>
  </w:style>
  <w:style w:type="paragraph" w:styleId="NormalWeb">
    <w:name w:val="Normal (Web)"/>
    <w:basedOn w:val="Normal"/>
    <w:uiPriority w:val="99"/>
    <w:unhideWhenUsed/>
    <w:qFormat/>
    <w:rsid w:val="00b062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64b2e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Notadefim">
    <w:name w:val="Endnote Text"/>
    <w:basedOn w:val="Normal"/>
    <w:link w:val="TextodenotadefimChar"/>
    <w:uiPriority w:val="99"/>
    <w:unhideWhenUsed/>
    <w:rsid w:val="00623e99"/>
    <w:pPr>
      <w:spacing w:lineRule="auto" w:line="240"/>
    </w:pPr>
    <w:rPr>
      <w:sz w:val="20"/>
      <w:szCs w:val="20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e33246"/>
    <w:pPr>
      <w:spacing w:lineRule="auto" w:line="24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4c16e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c1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_rels/endnotes.xml.rels><?xml version="1.0" encoding="UTF-8"?>
<Relationships xmlns="http://schemas.openxmlformats.org/package/2006/relationships"><Relationship Id="rId1" Type="http://schemas.openxmlformats.org/officeDocument/2006/relationships/hyperlink" Target="mailto:cgu.modeloscontratacao@agu.gov.br" TargetMode="External"/><Relationship Id="rId2" Type="http://schemas.openxmlformats.org/officeDocument/2006/relationships/hyperlink" Target="https://certidoes-apf.apps.tcu.gov.br/" TargetMode="External"/><Relationship Id="rId3" Type="http://schemas.openxmlformats.org/officeDocument/2006/relationships/hyperlink" Target="https://www.gov.br/agu/pt-br/composicao/cgu/cgu/guias/guia-de-contratacoes-sustentaveis-set-2023.pdf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56185B18C45549981C962EFFF3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94478-88F1-4D26-83DB-F0B62CB09789}"/>
      </w:docPartPr>
      <w:docPartBody>
        <w:p w:rsidR="003A1ED2" w:rsidRDefault="000065A0" w:rsidP="000065A0">
          <w:pPr>
            <w:pStyle w:val="E9D56185B18C45549981C962EFFF3C36"/>
          </w:pPr>
          <w:r>
            <w:rPr>
              <w:rFonts w:cstheme="minorHAnsi"/>
              <w:sz w:val="24"/>
              <w:szCs w:val="24"/>
            </w:rPr>
            <w:t>Resposta</w:t>
          </w:r>
        </w:p>
      </w:docPartBody>
    </w:docPart>
    <w:docPart>
      <w:docPartPr>
        <w:name w:val="2791183C899541FA9F5D296ED9955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956DA-D45B-4934-A6B3-EFD90F996B3E}"/>
      </w:docPartPr>
      <w:docPartBody>
        <w:p w:rsidR="003A1ED2" w:rsidRDefault="000065A0" w:rsidP="000065A0">
          <w:pPr>
            <w:pStyle w:val="2791183C899541FA9F5D296ED9955034"/>
          </w:pPr>
          <w:r>
            <w:rPr>
              <w:rFonts w:cstheme="minorHAnsi"/>
              <w:sz w:val="24"/>
              <w:szCs w:val="24"/>
            </w:rPr>
            <w:t>Resposta</w:t>
          </w:r>
        </w:p>
      </w:docPartBody>
    </w:docPart>
    <w:docPart>
      <w:docPartPr>
        <w:name w:val="449EBD8883E6495FAD8B271613734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5D929-DDA9-4716-B53C-91700CB46378}"/>
      </w:docPartPr>
      <w:docPartBody>
        <w:p w:rsidR="003A1ED2" w:rsidRDefault="000065A0" w:rsidP="000065A0">
          <w:pPr>
            <w:pStyle w:val="449EBD8883E6495FAD8B271613734597"/>
          </w:pPr>
          <w:r>
            <w:rPr>
              <w:rFonts w:cstheme="minorHAnsi"/>
              <w:sz w:val="24"/>
              <w:szCs w:val="24"/>
            </w:rPr>
            <w:t>Resposta</w:t>
          </w:r>
        </w:p>
      </w:docPartBody>
    </w:docPart>
    <w:docPart>
      <w:docPartPr>
        <w:name w:val="8662F07B1A7D4DDA91CE87C3AEF4C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4F446-9FAC-4DD1-8A64-720FF912CE14}"/>
      </w:docPartPr>
      <w:docPartBody>
        <w:p w:rsidR="003A1ED2" w:rsidRDefault="000065A0" w:rsidP="000065A0">
          <w:pPr>
            <w:pStyle w:val="8662F07B1A7D4DDA91CE87C3AEF4CF68"/>
          </w:pPr>
          <w:r>
            <w:rPr>
              <w:rFonts w:cstheme="minorHAnsi"/>
              <w:sz w:val="24"/>
              <w:szCs w:val="24"/>
            </w:rPr>
            <w:t>Resposta</w:t>
          </w:r>
        </w:p>
      </w:docPartBody>
    </w:docPart>
    <w:docPart>
      <w:docPartPr>
        <w:name w:val="7FF076F3D32C45C8B19BF92FCB0B95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0E2FD-23CE-43B7-8E17-A8F7793190C5}"/>
      </w:docPartPr>
      <w:docPartBody>
        <w:p w:rsidR="003A1ED2" w:rsidRDefault="000065A0" w:rsidP="000065A0">
          <w:pPr>
            <w:pStyle w:val="7FF076F3D32C45C8B19BF92FCB0B959C"/>
          </w:pPr>
          <w:r>
            <w:rPr>
              <w:rFonts w:cstheme="minorHAnsi"/>
              <w:sz w:val="24"/>
              <w:szCs w:val="24"/>
            </w:rPr>
            <w:t>Resposta</w:t>
          </w:r>
        </w:p>
      </w:docPartBody>
    </w:docPart>
    <w:docPart>
      <w:docPartPr>
        <w:name w:val="C06F2736251C47949DE8FA08D5512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81E0C-670D-4E68-939D-65CB25A1BBCE}"/>
      </w:docPartPr>
      <w:docPartBody>
        <w:p w:rsidR="003A1ED2" w:rsidRDefault="000065A0" w:rsidP="000065A0">
          <w:pPr>
            <w:pStyle w:val="C06F2736251C47949DE8FA08D55126BD"/>
          </w:pPr>
          <w:r>
            <w:rPr>
              <w:rFonts w:cstheme="minorHAnsi"/>
              <w:sz w:val="24"/>
              <w:szCs w:val="24"/>
            </w:rPr>
            <w:t>Resposta</w:t>
          </w:r>
        </w:p>
      </w:docPartBody>
    </w:docPart>
    <w:docPart>
      <w:docPartPr>
        <w:name w:val="D6E7181FC2DA4C4EAFE4FD8435844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6809F-BFDA-49AB-A41D-91AB6993B488}"/>
      </w:docPartPr>
      <w:docPartBody>
        <w:p w:rsidR="00D852BF" w:rsidRDefault="006F046F" w:rsidP="006F046F">
          <w:pPr>
            <w:pStyle w:val="D6E7181FC2DA4C4EAFE4FD8435844DA8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CB3D65499DAE4A158EE06A068D700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FFFFC-5F21-4A70-84EC-0C5F33BFD5CA}"/>
      </w:docPartPr>
      <w:docPartBody>
        <w:p w:rsidR="00D852BF" w:rsidRDefault="006F046F" w:rsidP="006F046F">
          <w:pPr>
            <w:pStyle w:val="CB3D65499DAE4A158EE06A068D7002A7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6A82C7CAA5B0445C870673443C513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64A48-0711-4407-9A3E-372717357E75}"/>
      </w:docPartPr>
      <w:docPartBody>
        <w:p w:rsidR="006B4E59" w:rsidRDefault="006B4E59" w:rsidP="006B4E59">
          <w:pPr>
            <w:pStyle w:val="6A82C7CAA5B0445C870673443C51376D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E87EAE4AB38A4043BFD57A4B60461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CD6FD-9687-4A71-A5FE-7A5367672379}"/>
      </w:docPartPr>
      <w:docPartBody>
        <w:p w:rsidR="006B4E59" w:rsidRDefault="006B4E59" w:rsidP="006B4E59">
          <w:pPr>
            <w:pStyle w:val="E87EAE4AB38A4043BFD57A4B6046186E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E8C4C0DA02C04F15AADCD02988E58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E148E-607C-4F6A-AB97-24FFA7CD433C}"/>
      </w:docPartPr>
      <w:docPartBody>
        <w:p w:rsidR="006B4E59" w:rsidRDefault="006B4E59" w:rsidP="006B4E59">
          <w:pPr>
            <w:pStyle w:val="E8C4C0DA02C04F15AADCD02988E585DB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C4CB4DABCD7A4D23848453F0F8ACF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54AAC-40C6-4D9F-A006-79297D819B82}"/>
      </w:docPartPr>
      <w:docPartBody>
        <w:p w:rsidR="006B4E59" w:rsidRDefault="006B4E59" w:rsidP="006B4E59">
          <w:pPr>
            <w:pStyle w:val="C4CB4DABCD7A4D23848453F0F8ACFED9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7ABD8F87EE6A46C7ACC1F0834EC5E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86DA3E-A501-4CEE-B8EC-2FFD2B906B57}"/>
      </w:docPartPr>
      <w:docPartBody>
        <w:p w:rsidR="006B4E59" w:rsidRDefault="006B4E59" w:rsidP="006B4E59">
          <w:pPr>
            <w:pStyle w:val="7ABD8F87EE6A46C7ACC1F0834EC5EBC5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7D3269EE2E6E40DAA69ABEF75F0571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662681-D59A-4B60-BEAC-C2994570DB2C}"/>
      </w:docPartPr>
      <w:docPartBody>
        <w:p w:rsidR="006B4E59" w:rsidRDefault="006B4E59" w:rsidP="006B4E59">
          <w:pPr>
            <w:pStyle w:val="7D3269EE2E6E40DAA69ABEF75F0571E9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62AF2B31E8C64DA691C79A50AD3A5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061D7D-8CBC-42F4-A1D0-19A2C62E46F8}"/>
      </w:docPartPr>
      <w:docPartBody>
        <w:p w:rsidR="006B4E59" w:rsidRDefault="006B4E59" w:rsidP="006B4E59">
          <w:pPr>
            <w:pStyle w:val="62AF2B31E8C64DA691C79A50AD3A5AFF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692BF910E2B14F919F893EF545A37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2C3071-7763-46CB-9444-460CC418FC00}"/>
      </w:docPartPr>
      <w:docPartBody>
        <w:p w:rsidR="006B4E59" w:rsidRDefault="006B4E59" w:rsidP="006B4E59">
          <w:pPr>
            <w:pStyle w:val="692BF910E2B14F919F893EF545A37E91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0FE70379138C48A59CA90FE371F9CE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255D9-DF22-43E9-8D7E-7BF272E92FA9}"/>
      </w:docPartPr>
      <w:docPartBody>
        <w:p w:rsidR="006B4E59" w:rsidRDefault="006B4E59" w:rsidP="006B4E59">
          <w:pPr>
            <w:pStyle w:val="0FE70379138C48A59CA90FE371F9CE84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09A528CE11C343EEBA633173EBA4A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8AE8C-0F31-4963-AE62-68F43499084F}"/>
      </w:docPartPr>
      <w:docPartBody>
        <w:p w:rsidR="006B4E59" w:rsidRDefault="006B4E59" w:rsidP="006B4E59">
          <w:pPr>
            <w:pStyle w:val="09A528CE11C343EEBA633173EBA4A616"/>
          </w:pPr>
          <w:r>
            <w:rPr>
              <w:rFonts w:cstheme="minorHAnsi"/>
            </w:rPr>
            <w:t>Resposta</w:t>
          </w:r>
        </w:p>
      </w:docPartBody>
    </w:docPart>
    <w:docPart>
      <w:docPartPr>
        <w:name w:val="78899658F63B4D0683E4BB48E2E8E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D8EC9-6E2B-409B-9BBB-54E32B3D1AE0}"/>
      </w:docPartPr>
      <w:docPartBody>
        <w:p w:rsidR="007E555D" w:rsidRDefault="00AD1172" w:rsidP="00AD1172">
          <w:pPr>
            <w:pStyle w:val="78899658F63B4D0683E4BB48E2E8EE06"/>
          </w:pPr>
          <w:r>
            <w:rPr>
              <w:rFonts w:cstheme="minorHAnsi"/>
            </w:rPr>
            <w:t>Resposta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urich B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A0"/>
    <w:rsid w:val="000065A0"/>
    <w:rsid w:val="000F15A5"/>
    <w:rsid w:val="00157878"/>
    <w:rsid w:val="001E02D5"/>
    <w:rsid w:val="00275AF2"/>
    <w:rsid w:val="003A1ED2"/>
    <w:rsid w:val="00467B52"/>
    <w:rsid w:val="004F0344"/>
    <w:rsid w:val="005C24E7"/>
    <w:rsid w:val="00696C01"/>
    <w:rsid w:val="006B499A"/>
    <w:rsid w:val="006B4E59"/>
    <w:rsid w:val="006F046F"/>
    <w:rsid w:val="007E555D"/>
    <w:rsid w:val="008A247A"/>
    <w:rsid w:val="00A931C7"/>
    <w:rsid w:val="00AD1172"/>
    <w:rsid w:val="00AD605F"/>
    <w:rsid w:val="00BC594D"/>
    <w:rsid w:val="00BD05E2"/>
    <w:rsid w:val="00CD0409"/>
    <w:rsid w:val="00D4434A"/>
    <w:rsid w:val="00D612B3"/>
    <w:rsid w:val="00D852BF"/>
    <w:rsid w:val="00DD132A"/>
    <w:rsid w:val="00DE2049"/>
    <w:rsid w:val="00E00597"/>
    <w:rsid w:val="00FA1190"/>
    <w:rsid w:val="00FA68F2"/>
    <w:rsid w:val="00F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65A0"/>
    <w:rPr>
      <w:color w:val="808080"/>
    </w:rPr>
  </w:style>
  <w:style w:type="paragraph" w:customStyle="1" w:styleId="E9D56185B18C45549981C962EFFF3C36">
    <w:name w:val="E9D56185B18C45549981C962EFFF3C36"/>
    <w:rsid w:val="000065A0"/>
    <w:pPr>
      <w:widowControl w:val="0"/>
      <w:spacing w:after="0"/>
    </w:pPr>
    <w:rPr>
      <w:rFonts w:eastAsiaTheme="minorHAnsi"/>
      <w:lang w:eastAsia="en-US"/>
    </w:rPr>
  </w:style>
  <w:style w:type="paragraph" w:customStyle="1" w:styleId="D6E7181FC2DA4C4EAFE4FD8435844DA8">
    <w:name w:val="D6E7181FC2DA4C4EAFE4FD8435844DA8"/>
    <w:rsid w:val="006F04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3D65499DAE4A158EE06A068D7002A7">
    <w:name w:val="CB3D65499DAE4A158EE06A068D7002A7"/>
    <w:rsid w:val="006F04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1183C899541FA9F5D296ED9955034">
    <w:name w:val="2791183C899541FA9F5D296ED9955034"/>
    <w:rsid w:val="000065A0"/>
  </w:style>
  <w:style w:type="paragraph" w:customStyle="1" w:styleId="449EBD8883E6495FAD8B271613734597">
    <w:name w:val="449EBD8883E6495FAD8B271613734597"/>
    <w:rsid w:val="000065A0"/>
  </w:style>
  <w:style w:type="paragraph" w:customStyle="1" w:styleId="8662F07B1A7D4DDA91CE87C3AEF4CF68">
    <w:name w:val="8662F07B1A7D4DDA91CE87C3AEF4CF68"/>
    <w:rsid w:val="000065A0"/>
  </w:style>
  <w:style w:type="paragraph" w:customStyle="1" w:styleId="7FF076F3D32C45C8B19BF92FCB0B959C">
    <w:name w:val="7FF076F3D32C45C8B19BF92FCB0B959C"/>
    <w:rsid w:val="000065A0"/>
  </w:style>
  <w:style w:type="paragraph" w:customStyle="1" w:styleId="C06F2736251C47949DE8FA08D55126BD">
    <w:name w:val="C06F2736251C47949DE8FA08D55126BD"/>
    <w:rsid w:val="000065A0"/>
  </w:style>
  <w:style w:type="paragraph" w:customStyle="1" w:styleId="6A82C7CAA5B0445C870673443C51376D">
    <w:name w:val="6A82C7CAA5B0445C870673443C51376D"/>
    <w:rsid w:val="006B4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EAE4AB38A4043BFD57A4B6046186E">
    <w:name w:val="E87EAE4AB38A4043BFD57A4B6046186E"/>
    <w:rsid w:val="006B4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4C0DA02C04F15AADCD02988E585DB">
    <w:name w:val="E8C4C0DA02C04F15AADCD02988E585DB"/>
    <w:rsid w:val="006B4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B4DABCD7A4D23848453F0F8ACFED9">
    <w:name w:val="C4CB4DABCD7A4D23848453F0F8ACFED9"/>
    <w:rsid w:val="006B4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D8F87EE6A46C7ACC1F0834EC5EBC5">
    <w:name w:val="7ABD8F87EE6A46C7ACC1F0834EC5EBC5"/>
    <w:rsid w:val="006B4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3269EE2E6E40DAA69ABEF75F0571E9">
    <w:name w:val="7D3269EE2E6E40DAA69ABEF75F0571E9"/>
    <w:rsid w:val="006B4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F2B31E8C64DA691C79A50AD3A5AFF">
    <w:name w:val="62AF2B31E8C64DA691C79A50AD3A5AFF"/>
    <w:rsid w:val="006B4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BF910E2B14F919F893EF545A37E91">
    <w:name w:val="692BF910E2B14F919F893EF545A37E91"/>
    <w:rsid w:val="006B4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E70379138C48A59CA90FE371F9CE84">
    <w:name w:val="0FE70379138C48A59CA90FE371F9CE84"/>
    <w:rsid w:val="006B4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A528CE11C343EEBA633173EBA4A616">
    <w:name w:val="09A528CE11C343EEBA633173EBA4A616"/>
    <w:rsid w:val="006B4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99658F63B4D0683E4BB48E2E8EE06">
    <w:name w:val="78899658F63B4D0683E4BB48E2E8EE06"/>
    <w:rsid w:val="00AD11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LibreOffice/7.3.0.3$Windows_X86_64 LibreOffice_project/0f246aa12d0eee4a0f7adcefbf7c878fc2238db3</Application>
  <AppVersion>15.0000</AppVersion>
  <Pages>3</Pages>
  <Words>1186</Words>
  <Characters>6604</Characters>
  <CharactersWithSpaces>7723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2024-06-14T11:03:00Z</dcterms:created>
  <dc:creator/>
  <dc:description/>
  <dc:language>pt-BR</dc:language>
  <cp:lastModifiedBy/>
  <dcterms:modified xsi:type="dcterms:W3CDTF">2024-09-12T13:31:00Z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