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endnotes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  <w:drawing>
          <wp:inline distT="0" distB="0" distL="0" distR="0">
            <wp:extent cx="739140" cy="80772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br/>
      </w:r>
      <w:r>
        <w:rPr>
          <w:rFonts w:ascii="Times New Roman" w:hAnsi="Times New Roman"/>
          <w:b/>
          <w:color w:val="000000"/>
          <w:sz w:val="22"/>
          <w:szCs w:val="22"/>
        </w:rPr>
        <w:t>ADVOCACIA-GERAL DA UNIÃO</w:t>
      </w:r>
      <w:r>
        <w:rPr>
          <w:rFonts w:ascii="Times New Roman" w:hAnsi="Times New Roman"/>
          <w:color w:val="000000"/>
          <w:sz w:val="22"/>
          <w:szCs w:val="22"/>
        </w:rPr>
        <w:br/>
        <w:t>CONSULTORIA-GERAL DA UNIÃO</w:t>
        <w:br/>
        <w:t>CAMARA NACIONAL DE MODELOS DE LICITAÇÕES E CONTRATOS ADMINISTRATIVOS - CNMLC/DECOR/CGU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LISTA DE VERIFICAÇÃO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tbl>
      <w:tblPr>
        <w:tblW w:w="10090" w:type="dxa"/>
        <w:jc w:val="right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firstRow="0" w:noVBand="0" w:lastRow="0" w:firstColumn="0" w:lastColumn="0" w:noHBand="0" w:val="0000"/>
      </w:tblPr>
      <w:tblGrid>
        <w:gridCol w:w="6088"/>
        <w:gridCol w:w="2126"/>
        <w:gridCol w:w="1876"/>
      </w:tblGrid>
      <w:tr>
        <w:trPr/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AFC9A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</w:rPr>
              <w:t>ATOS ADMINISTRATIVOS E DOCUMENTOS A SEREM VERIFICADOS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AFC9A" w:val="clear"/>
          </w:tcPr>
          <w:p>
            <w:pPr>
              <w:pStyle w:val="Normal"/>
              <w:spacing w:lineRule="auto" w:line="252" w:before="0" w:after="160"/>
              <w:jc w:val="center"/>
              <w:rPr>
                <w:rFonts w:ascii="Calibri" w:hAnsi="Calibri" w:eastAsia="Calibri" w:cs="Calibri"/>
                <w:lang w:eastAsia="en-US"/>
              </w:rPr>
            </w:pPr>
            <w:r>
              <w:rPr>
                <w:rFonts w:eastAsia="Calibri" w:cs="Calibri" w:ascii="Calibri" w:hAnsi="Calibri"/>
                <w:lang w:eastAsia="en-US"/>
              </w:rPr>
              <w:t>Atende plenamente a exigência?</w:t>
            </w:r>
          </w:p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</w:rPr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AFC9A" w:val="clea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Indicação do local do processo em que foi atendida a exigência (doc. / fls. / SEI )</w:t>
            </w:r>
          </w:p>
        </w:tc>
      </w:tr>
      <w:tr>
        <w:trPr>
          <w:trHeight w:val="537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</w:rPr>
              <w:t xml:space="preserve">Houve abertura de processo administrativo devidamente autuado e numerado, quando processo físico, ou registrado quando processo eletrônico, nos termos da ON-AGU </w:t>
            </w:r>
            <w:r>
              <w:rPr>
                <w:rFonts w:cs="Calibri" w:ascii="Calibri" w:hAnsi="Calibri" w:asciiTheme="minorHAnsi" w:cstheme="minorHAnsi" w:hAnsiTheme="minorHAnsi"/>
              </w:rPr>
              <w:t>nº 2/2009?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2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 </w:t>
            </w:r>
          </w:p>
        </w:tc>
      </w:tr>
      <w:tr>
        <w:trPr>
          <w:trHeight w:val="23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O edital utilizado para o registro de preços admite a adesão à ata?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34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Há demonstração da compatibilidade do objeto demandado com aquele discriminado na ata?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3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09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Há nos autos comprovação de que o preço registrado é vantajoso em relação aos praticados no mercado onde serão adquiridos os bens e serviços, mediante pesquisa de preços que não se restrinja a consultas às empresas do ramo?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4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758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 serviço ou bem registrado na Ata, decorre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5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828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Em se tratando de serviços de tecnologia da informação e comunicação, a ata de registro de preços é gerenciada pelo Ministério da Economia ou foi previamente aprovada por esse Ministério?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6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85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ind w:left="522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Caso não tenha havido aprovação pelo Ministério da Economia, os serviços que serão contratados estão vinculados ao fornecimento de bens de tecnologia da informação e comunicação constantes da mesma ata?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7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9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highlight w:val="yellow"/>
              </w:rPr>
              <w:t>Tratando-se de contratação de tecnologia da informação e comunicação,</w:t>
            </w:r>
            <w:r>
              <w:rPr>
                <w:highlight w:val="yellow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highlight w:val="yellow"/>
              </w:rPr>
              <w:t>o órgão ou entidade interessada em aderir à Ata de Registro de Preços registrou no Estudo Técnico Preliminar o ganho de eficiência, a viabilidade e a economicidade para a administração pública federal da utilização da ata de registro de preços?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8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71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ata de registro de preços a que se pretende aderir se encontra válida e vigente?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9"/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5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Os itens a que se refere a adesão foram adjudicados por preço global de grupo de itens?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6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ind w:left="522" w:hanging="0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Caso positivo, foi atestado que a contratação é da totalidade dos itens de grupo, respeitadas as proporções de quantitativos definidos no certame ou é de item isolado para o qual o preço unitário adjudicado ao vencedor seja o menor preço válido ofertado para o mesmo item na fase de lances?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0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35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Consta no edital realizado para o registro de preços, o quantitativo reservado para as aquisições pelo órgão gerenciador, órgãos participantes e, também, pelos órgãos não participantes?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1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50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Foram juntadas, no processo, cópias da ata de registro de preço, do edital da licitação, do termo de referência (ou projeto básico) e do termo de contrato (quando este existir) referentes à licitação realizada e ao objeto que se pretende aderir para verificação da validade da ata, limites para as contratações pelos caronas e certificação do objeto registrado e das condições para sua execução?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2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720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Houve consulta ao órgão gerenciador da ata de registro de preços instruído com estudo que demonstre o ganho, a eficiência, viabilidade e a economicidade para a administração pública federal da utilização da ata de registro de preços, conforme estabelecido em ato do Secretário de Gestão do Ministério da Economia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3"/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4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39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color w:val="FF0000"/>
                <w:highlight w:val="yellow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Consta aceitação do fornecedor beneficiário da ata de registro de preços, com manifestação de que não haverá prejuízo ao cumprimento das obrigações presentes e futuras decorrentes da ata, assumidas com o órgão gerenciador e órgãos participantes?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5"/>
            </w: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209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Há termo de referência (ou projeto básico) que respeita as mesmas condições postas no termo de referência (ou projeto básico) da licitação e, ainda, devidamente aprovado pela autoridade competente?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6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943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aquisição ou contratação está sendo efetivada em até 90 (noventa) dias após a autorização do órgão gerenciador, observado o prazo de vigência da ata?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7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551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Existe autorização da autoridade competente para que a aquisição se dê por meio de adesão à Ata de Registro de Preços?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394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Existe demonstração da existência de dotação orçamentária para cobrir a despesa com a contratação pretendida?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8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 </w:t>
            </w:r>
          </w:p>
        </w:tc>
      </w:tr>
      <w:tr>
        <w:trPr>
          <w:trHeight w:val="542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O fornecedor registrado na ata de registro de preços mantém as mesmas condições de habilitação exigidas no edital da licitação?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19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679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Foram consultados todos os sistemas de consulta abaixo e juntados aos autos os respectivos comprovantes?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a) SICAF;  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b) Cadastro Nacional de Empresas Inidôneas e Suspensas - CEIS, mantido pela Controladoria-Geral da União (www.portaldatransparencia.gov.br/ceis);  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c) Cadastro Nacional de Condenações Cíveis por Atos de Improbidade Administrativa, mantido pelo Conselho Nacional de Justiça (www.cnj.jus.br/improbidade_adm/consultar_requerido.php).  </w:t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d) Lista de Inidôneos, mantida pelo Tribunal de Contas da União – TCU (https://contas.tcu.gov.br/ords/f?p=INABILITADO:INIDONEOS);</w:t>
            </w:r>
            <w:r>
              <w:rPr>
                <w:rStyle w:val="Ncoradanotadefim"/>
                <w:rFonts w:cs="Calibri" w:ascii="Calibri" w:hAnsi="Calibri" w:asciiTheme="minorHAnsi" w:cstheme="minorHAnsi" w:hAnsiTheme="minorHAnsi"/>
              </w:rPr>
              <w:endnoteReference w:id="20"/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266" w:hRule="atLeast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minuta de termo de contrato, se houver, obedece as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  <w:sdt>
              <w:sdtPr>
                <w:dropDownList>
                  <w:listItem w:displayText="Sim" w:value="Sim"/>
                  <w:listItem w:displayText="Não" w:value="Não"/>
                  <w:listItem w:displayText="Não se aplica" w:value="Não se aplica"/>
                </w:dropDownList>
              </w:sdtPr>
              <w:sdtContent>
                <w:r>
                  <w:t>Resposta</w:t>
                </w:r>
              </w:sdtContent>
            </w:sdt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sectPr>
      <w:footerReference w:type="default" r:id="rId3"/>
      <w:endnotePr>
        <w:numFmt w:val="decimal"/>
      </w:endnotePr>
      <w:type w:val="nextPage"/>
      <w:pgSz w:w="11906" w:h="16838"/>
      <w:pgMar w:left="1134" w:right="720" w:header="0" w:top="72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Dispõe a ON-AGU 2/2009: “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encerramento.”.</w:t>
      </w:r>
    </w:p>
  </w:endnote>
  <w:endnote w:id="3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3º, I da Lei nº 10.520/02, e art. 2º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, caput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e parágrafo único, VII, da Lei nº 9.784/99 e Acórdão nº 1823/2017 – Plenário.</w:t>
      </w:r>
    </w:p>
  </w:endnote>
  <w:endnote w:id="4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IN SEGES/MP nº 73/2020, Acórdão 8340/2018 – 2ª Câmara e nº 420/2018 – Plenário.</w:t>
      </w:r>
    </w:p>
  </w:endnote>
  <w:endnote w:id="5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arts. 1º, e 22, § 8º, do Decreto nº 7.892/13.</w:t>
      </w:r>
    </w:p>
  </w:endnote>
  <w:endnote w:id="6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§10, do Decreto nº 7.892/2013.</w:t>
      </w:r>
    </w:p>
  </w:endnote>
  <w:endnote w:id="7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§11, do Decreto 7892/2013.</w:t>
      </w:r>
    </w:p>
  </w:endnote>
  <w:endnote w:id="8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9º, §4º, da IN SGD/ME nº 1, 2019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yellow"/>
        </w:rPr>
        <w:t>, com redação dada pela IN SGD/ME nº 31, de 2021.</w:t>
      </w:r>
    </w:p>
  </w:endnote>
  <w:endnote w:id="9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§6º, do Decreto nº 7.892/2013.</w:t>
      </w:r>
    </w:p>
  </w:endnote>
  <w:endnote w:id="10"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Atentar para a seguinte orientação da Secretaria de Gestão: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(Sisg) que: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No âmbito das licitações realizadas sob a modelagem de aquisição por preço global de grupo de itens, somente será admitida as seguintes hipóteses: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aquisição da totalidade dos itens de grupo, respeitadas as proporções de quantitativos definidos no certame; ou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aquisição de item isolado para o qual o preço unitário adjudicado ao vencedor seja o menor preço válido ofertado para o mesmo item na fase de lances.</w:t>
      </w:r>
    </w:p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Constitui irregularidade a aquisição (emissão de empenho) de item de grupo adjudicado por preço global, de forma isolada, quando o preço unitário adjudicado ao vencedor do lote não for o menor lance válido ofertado na disputa relativo ao item, salvo quando, justificadamente, ficar demonstrado que é inexequível ou inviável, dentro do modelo de execução do contrato, a demanda proporcional ou total de todos os itens do respectivo grupo.</w:t>
      </w:r>
    </w:p>
  </w:endnote>
  <w:endnote w:id="11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9º, II e III, do Decreto nº 7.892/13.</w:t>
      </w:r>
    </w:p>
  </w:endnote>
  <w:endnote w:id="12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arts. 9º, III, e 22, §§ 3º e 4º, do Decreto nº 7.892/13.</w:t>
      </w:r>
    </w:p>
  </w:endnote>
  <w:endnote w:id="13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arts. 9º, III, e 22, §§ 3º e 4º, do Decreto nº 7.892/13.</w:t>
      </w:r>
    </w:p>
  </w:endnote>
  <w:endnote w:id="14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Até o momento da última atualização desta Lista </w:t>
      </w:r>
      <w:r>
        <w:rPr>
          <w:rFonts w:cs="Calibri" w:ascii="Calibri" w:hAnsi="Calibri" w:asciiTheme="minorHAnsi" w:cstheme="minorHAnsi" w:hAnsiTheme="minorHAnsi"/>
          <w:sz w:val="22"/>
          <w:szCs w:val="22"/>
          <w:highlight w:val="yellow"/>
        </w:rPr>
        <w:t>(no rodapé deste documento),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não houve a edição do ato supramencionado, não sendo exigível ainda o estudo em questão.</w:t>
      </w:r>
    </w:p>
  </w:endnote>
  <w:endnote w:id="15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§2º, do Decreto nº 7.892/13.</w:t>
      </w:r>
    </w:p>
  </w:endnote>
  <w:endnote w:id="16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14, II do Decreto nº 10.024/19 ou art. 7º, § 2º, I da Lei nº 8.666/93.</w:t>
      </w:r>
    </w:p>
  </w:endnote>
  <w:endnote w:id="17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22, §6°, do Decreto nº 7.892/13.</w:t>
      </w:r>
    </w:p>
  </w:endnote>
  <w:endnote w:id="18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60, Lei 4.320/64.</w:t>
      </w:r>
    </w:p>
  </w:endnote>
  <w:endnote w:id="19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art. 55, XIII, da Lei nº 8.666/93.</w:t>
      </w:r>
    </w:p>
  </w:endnote>
  <w:endnote w:id="20">
    <w:p>
      <w:pPr>
        <w:pStyle w:val="Notadefim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Style w:val="Caracteresdenotadefim"/>
        </w:rPr>
        <w:endnoteRef/>
      </w:r>
      <w:r>
        <w:rPr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Para a consulta de licitantes pessoa jurídica poderá haver a substituição das consultas das alíneas “b”, “c” e “d” acima pela Consulta Consolidada de Pessoa Jurídica do TCU (</w:t>
      </w:r>
      <w:hyperlink r:id="rId1">
        <w:r>
          <w:rPr>
            <w:rStyle w:val="LinkdaInternet"/>
            <w:rFonts w:cs="Calibri" w:ascii="Calibri" w:hAnsi="Calibri" w:asciiTheme="minorHAnsi" w:cstheme="minorHAnsi" w:hAnsiTheme="minorHAnsi"/>
            <w:sz w:val="22"/>
            <w:szCs w:val="22"/>
          </w:rPr>
          <w:t>https://certidoes-apf.apps.tcu.gov.br/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).</w:t>
      </w:r>
    </w:p>
    <w:p>
      <w:pPr>
        <w:pStyle w:val="Notadefim"/>
        <w:rPr>
          <w:rFonts w:ascii="Calibri" w:hAnsi="Calibri" w:cs="Calibri" w:asciiTheme="minorHAnsi" w:cstheme="minorHAnsi" w:hAnsiTheme="minorHAnsi"/>
        </w:rPr>
      </w:pP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Adesões a Registros de Preços (Carona)</w:t>
    </w:r>
  </w:p>
  <w:p>
    <w:pPr>
      <w:pStyle w:val="Rodap"/>
      <w:rPr/>
    </w:pPr>
    <w:r>
      <w:rPr>
        <w:sz w:val="15"/>
        <w:szCs w:val="15"/>
      </w:rPr>
      <w:t>Atualização: Março/2022</w:t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172"/>
    <w:pPr>
      <w:widowControl/>
      <w:bidi w:val="0"/>
      <w:spacing w:before="120" w:after="0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3350cd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c7298a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106c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106c0"/>
    <w:rPr>
      <w:rFonts w:ascii="Arial" w:hAnsi="Arial" w:eastAsia="Times New Roman"/>
      <w:lang w:val="pt-BR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106c0"/>
    <w:rPr>
      <w:rFonts w:ascii="Arial" w:hAnsi="Arial" w:eastAsia="Times New Roman"/>
      <w:b/>
      <w:bCs/>
      <w:lang w:val="pt-BR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106c0"/>
    <w:rPr>
      <w:rFonts w:ascii="Segoe UI" w:hAnsi="Segoe UI" w:eastAsia="Times New Roman" w:cs="Segoe UI"/>
      <w:sz w:val="18"/>
      <w:szCs w:val="18"/>
      <w:lang w:val="pt-BR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b0711"/>
    <w:rPr>
      <w:rFonts w:ascii="Arial" w:hAnsi="Arial" w:eastAsia="Times New Roman"/>
      <w:sz w:val="24"/>
      <w:szCs w:val="24"/>
      <w:lang w:val="pt-BR" w:eastAsia="pt-BR"/>
    </w:rPr>
  </w:style>
  <w:style w:type="character" w:styleId="RodapChar" w:customStyle="1">
    <w:name w:val="Rodapé Char"/>
    <w:basedOn w:val="DefaultParagraphFont"/>
    <w:link w:val="Rodap"/>
    <w:qFormat/>
    <w:rsid w:val="00fb0711"/>
    <w:rPr>
      <w:rFonts w:ascii="Arial" w:hAnsi="Arial" w:eastAsia="Times New Roman"/>
      <w:sz w:val="24"/>
      <w:szCs w:val="24"/>
      <w:lang w:val="pt-BR" w:eastAsia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4a13b5"/>
    <w:rPr>
      <w:color w:val="605E5C"/>
      <w:shd w:fill="E1DFDD" w:val="clear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d251e4"/>
    <w:rPr>
      <w:rFonts w:ascii="Arial" w:hAnsi="Arial" w:eastAsia="Times New Roman"/>
      <w:lang w:val="pt-BR" w:eastAsia="pt-BR"/>
    </w:rPr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251e4"/>
    <w:rPr>
      <w:vertAlign w:val="superscript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176fc"/>
    <w:rPr>
      <w:rFonts w:ascii="Arial" w:hAnsi="Arial" w:eastAsia="Times New Roman"/>
      <w:lang w:val="pt-BR" w:eastAsia="pt-BR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176fc"/>
    <w:rPr>
      <w:vertAlign w:val="superscript"/>
    </w:rPr>
  </w:style>
  <w:style w:type="character" w:styleId="PlaceholderText">
    <w:name w:val="Placeholder Text"/>
    <w:basedOn w:val="DefaultParagraphFont"/>
    <w:uiPriority w:val="67"/>
    <w:semiHidden/>
    <w:qFormat/>
    <w:rsid w:val="00c3631a"/>
    <w:rPr>
      <w:color w:val="808080"/>
    </w:rPr>
  </w:style>
  <w:style w:type="character" w:styleId="Caracteresdenotadefim">
    <w:name w:val="Caracteres de nota de fim"/>
    <w:qFormat/>
    <w:rPr/>
  </w:style>
  <w:style w:type="character" w:styleId="Caracteresdenotaderodap">
    <w:name w:val="Caracteres de nota de rodapé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86f2f"/>
    <w:pPr>
      <w:spacing w:beforeAutospacing="1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b7905"/>
    <w:pPr>
      <w:spacing w:before="0" w:after="0"/>
      <w:ind w:left="720" w:hanging="0"/>
      <w:jc w:val="left"/>
    </w:pPr>
    <w:rPr>
      <w:rFonts w:ascii="Calibri" w:hAnsi="Calibri" w:eastAsia="Calibri" w:cs="Calibri" w:eastAsia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106c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106c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106c0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b0711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odap">
    <w:name w:val="Footer"/>
    <w:basedOn w:val="Normal"/>
    <w:link w:val="RodapChar"/>
    <w:unhideWhenUsed/>
    <w:rsid w:val="00fb0711"/>
    <w:pPr>
      <w:tabs>
        <w:tab w:val="clear" w:pos="708"/>
        <w:tab w:val="center" w:pos="4252" w:leader="none"/>
        <w:tab w:val="right" w:pos="8504" w:leader="none"/>
      </w:tabs>
      <w:spacing w:before="0" w:after="0"/>
    </w:pPr>
    <w:rPr/>
  </w:style>
  <w:style w:type="paragraph" w:styleId="Revision">
    <w:name w:val="Revision"/>
    <w:uiPriority w:val="71"/>
    <w:semiHidden/>
    <w:qFormat/>
    <w:rsid w:val="00f25565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d251e4"/>
    <w:pPr>
      <w:spacing w:before="0" w:after="0"/>
    </w:pPr>
    <w:rPr>
      <w:sz w:val="20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9176fc"/>
    <w:pPr>
      <w:spacing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539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endnotes" Target="end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certidoes-apf.apps.tcu.gov.br/" TargetMode="Externa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AE3DBC765E41C4A287356638830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317D-6BD7-4291-83A1-EA503282A32C}"/>
      </w:docPartPr>
      <w:docPartBody>
        <w:p w:rsidR="00AD2AD3" w:rsidRDefault="00DD22B7" w:rsidP="00DD22B7">
          <w:pPr>
            <w:pStyle w:val="68AE3DBC765E41C4A287356638830B92"/>
          </w:pPr>
          <w:r>
            <w:rPr>
              <w:rFonts w:asciiTheme="minorHAnsi" w:hAnsiTheme="minorHAnsi" w:cstheme="minorHAnsi"/>
            </w:rPr>
            <w:t>Resposta</w:t>
          </w:r>
        </w:p>
      </w:docPartBody>
    </w:docPart>
    <w:docPart>
      <w:docPartPr>
        <w:name w:val="652AE3380BB649F0A39A24B5AB928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9F142-CAFD-4B1C-9288-F53A1D855360}"/>
      </w:docPartPr>
      <w:docPartBody>
        <w:p w:rsidR="00AD2AD3" w:rsidRDefault="00DD22B7" w:rsidP="00DD22B7">
          <w:pPr>
            <w:pStyle w:val="652AE3380BB649F0A39A24B5AB928034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03205942B60548B7B6A41217A60B0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AFD9F-7E71-45AF-991E-8E6ECA4A4986}"/>
      </w:docPartPr>
      <w:docPartBody>
        <w:p w:rsidR="00AD2AD3" w:rsidRDefault="00DD22B7" w:rsidP="00DD22B7">
          <w:pPr>
            <w:pStyle w:val="03205942B60548B7B6A41217A60B0495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1A4A73CDD5A4798ACF402C90F3FF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A62BB-EB5C-4BFF-8853-ECE12098CF8B}"/>
      </w:docPartPr>
      <w:docPartBody>
        <w:p w:rsidR="00AD2AD3" w:rsidRDefault="00DD22B7" w:rsidP="00DD22B7">
          <w:pPr>
            <w:pStyle w:val="C1A4A73CDD5A4798ACF402C90F3FFFB2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DAF530E510C24530A4F2DDEBE0E94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07834-9574-4FCA-A8C6-50BA1D63836D}"/>
      </w:docPartPr>
      <w:docPartBody>
        <w:p w:rsidR="00AD2AD3" w:rsidRDefault="00DD22B7" w:rsidP="00DD22B7">
          <w:pPr>
            <w:pStyle w:val="DAF530E510C24530A4F2DDEBE0E94F17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A791BE4124B4631B951D2D4D04FB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512E6-D40B-4B88-BE7C-5F181DAF6CE6}"/>
      </w:docPartPr>
      <w:docPartBody>
        <w:p w:rsidR="00AD2AD3" w:rsidRDefault="00DD22B7" w:rsidP="00DD22B7">
          <w:pPr>
            <w:pStyle w:val="CA791BE4124B4631B951D2D4D04FB522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574AEE83228E44298A6C18A3E8C7B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71046-D947-44E8-9D5F-1234019BDA63}"/>
      </w:docPartPr>
      <w:docPartBody>
        <w:p w:rsidR="00AD2AD3" w:rsidRDefault="00DD22B7" w:rsidP="00DD22B7">
          <w:pPr>
            <w:pStyle w:val="574AEE83228E44298A6C18A3E8C7B12C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B1D4523AD69145EBBC4100CC121FE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8EEC7-02C9-4EEF-B45F-7A7141AD9587}"/>
      </w:docPartPr>
      <w:docPartBody>
        <w:p w:rsidR="00AD2AD3" w:rsidRDefault="00DD22B7" w:rsidP="00DD22B7">
          <w:pPr>
            <w:pStyle w:val="B1D4523AD69145EBBC4100CC121FEDD8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1EE39CAA5B9B47F294F28E71D3B214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B9745-98D8-4A98-A617-78598FE5507E}"/>
      </w:docPartPr>
      <w:docPartBody>
        <w:p w:rsidR="00AD2AD3" w:rsidRDefault="00DD22B7" w:rsidP="00DD22B7">
          <w:pPr>
            <w:pStyle w:val="1EE39CAA5B9B47F294F28E71D3B2140F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21421BD9C9CB432E8B198206F20DD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F0DAB-2FEE-4EED-B4C6-99EA856D6988}"/>
      </w:docPartPr>
      <w:docPartBody>
        <w:p w:rsidR="00AD2AD3" w:rsidRDefault="00DD22B7" w:rsidP="00DD22B7">
          <w:pPr>
            <w:pStyle w:val="21421BD9C9CB432E8B198206F20DD4E0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306CFA1043234BC3BB1590559AB90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3AAE4-F784-406D-AB0C-9B5C7F1AEB9C}"/>
      </w:docPartPr>
      <w:docPartBody>
        <w:p w:rsidR="00AD2AD3" w:rsidRDefault="00DD22B7" w:rsidP="00DD22B7">
          <w:pPr>
            <w:pStyle w:val="306CFA1043234BC3BB1590559AB90887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B055F859CE0F4F63959527E9186B2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C66C-56CD-4D02-BEFB-ABCCE64789A6}"/>
      </w:docPartPr>
      <w:docPartBody>
        <w:p w:rsidR="00AD2AD3" w:rsidRDefault="00DD22B7" w:rsidP="00DD22B7">
          <w:pPr>
            <w:pStyle w:val="B055F859CE0F4F63959527E9186B2141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1B1517BDCCF84A3EB46A7CFF730AB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4E49D-C425-4A69-8A83-DB4943DC0596}"/>
      </w:docPartPr>
      <w:docPartBody>
        <w:p w:rsidR="00AD2AD3" w:rsidRDefault="00DD22B7" w:rsidP="00DD22B7">
          <w:pPr>
            <w:pStyle w:val="1B1517BDCCF84A3EB46A7CFF730AB0F1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2B74F9921F2F48E4B412C78C66025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70B9D-979B-417F-9A6E-95BFE4F543B2}"/>
      </w:docPartPr>
      <w:docPartBody>
        <w:p w:rsidR="00AD2AD3" w:rsidRDefault="00DD22B7" w:rsidP="00DD22B7">
          <w:pPr>
            <w:pStyle w:val="2B74F9921F2F48E4B412C78C66025430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ECAB991B026A482E91B3184AFE6DA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38C72-2A3A-48FC-A5F4-383C2C91E8C5}"/>
      </w:docPartPr>
      <w:docPartBody>
        <w:p w:rsidR="00AD2AD3" w:rsidRDefault="00DD22B7" w:rsidP="00DD22B7">
          <w:pPr>
            <w:pStyle w:val="ECAB991B026A482E91B3184AFE6DAC01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6A80E9C93CEB40FAA7C6181BB26B5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87CCF-DCE8-4BA3-8438-11CF53C7E6AB}"/>
      </w:docPartPr>
      <w:docPartBody>
        <w:p w:rsidR="00AD2AD3" w:rsidRDefault="00DD22B7" w:rsidP="00DD22B7">
          <w:pPr>
            <w:pStyle w:val="6A80E9C93CEB40FAA7C6181BB26B55AA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DFAA4B45B095495EACCF2A6557CFF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EF257-BFB7-45CC-AE4C-BB4BDF67CA7C}"/>
      </w:docPartPr>
      <w:docPartBody>
        <w:p w:rsidR="00AD2AD3" w:rsidRDefault="00DD22B7" w:rsidP="00DD22B7">
          <w:pPr>
            <w:pStyle w:val="DFAA4B45B095495EACCF2A6557CFF74F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87DD9372D70744EBBD9572671BEA9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3A81A-63CF-4465-82EE-06E258B8E550}"/>
      </w:docPartPr>
      <w:docPartBody>
        <w:p w:rsidR="00AD2AD3" w:rsidRDefault="00DD22B7" w:rsidP="00DD22B7">
          <w:pPr>
            <w:pStyle w:val="87DD9372D70744EBBD9572671BEA959F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BE97B4323E641DB8DCF3F093F3C4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85D66-ABD2-49D8-97CE-5EE1EEE09001}"/>
      </w:docPartPr>
      <w:docPartBody>
        <w:p w:rsidR="00AD2AD3" w:rsidRDefault="00DD22B7" w:rsidP="00DD22B7">
          <w:pPr>
            <w:pStyle w:val="CBE97B4323E641DB8DCF3F093F3C4087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30C5A72CAFDC49CD81DDCBDB550100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7FD719-09AA-4A01-A092-A3305E6669E6}"/>
      </w:docPartPr>
      <w:docPartBody>
        <w:p w:rsidR="00AD2AD3" w:rsidRDefault="00DD22B7" w:rsidP="00DD22B7">
          <w:pPr>
            <w:pStyle w:val="30C5A72CAFDC49CD81DDCBDB550100BA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2B32FE4BF42740AD86F29581991BC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91DDF-726B-4261-BF45-BCE91C3F1EA8}"/>
      </w:docPartPr>
      <w:docPartBody>
        <w:p w:rsidR="00AD2AD3" w:rsidRDefault="00DD22B7" w:rsidP="00DD22B7">
          <w:pPr>
            <w:pStyle w:val="2B32FE4BF42740AD86F29581991BCA2D"/>
          </w:pPr>
          <w:r>
            <w:rPr>
              <w:rFonts w:cstheme="minorHAnsi"/>
            </w:rPr>
            <w:t>Resposta</w:t>
          </w:r>
        </w:p>
      </w:docPartBody>
    </w:docPart>
    <w:docPart>
      <w:docPartPr>
        <w:name w:val="C93DEEC6B0C04247A44F612AC8CA9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2F0EE-5942-42C8-9113-8D1BC7DB011C}"/>
      </w:docPartPr>
      <w:docPartBody>
        <w:p w:rsidR="00AD2AD3" w:rsidRDefault="00DD22B7" w:rsidP="00DD22B7">
          <w:pPr>
            <w:pStyle w:val="C93DEEC6B0C04247A44F612AC8CA9668"/>
          </w:pPr>
          <w:r>
            <w:rPr>
              <w:rFonts w:cstheme="minorHAnsi"/>
            </w:rPr>
            <w:t>Resposta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B7"/>
    <w:rsid w:val="008A132D"/>
    <w:rsid w:val="00AD2AD3"/>
    <w:rsid w:val="00C20EB3"/>
    <w:rsid w:val="00D8354C"/>
    <w:rsid w:val="00D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semiHidden/>
    <w:rsid w:val="00DD22B7"/>
    <w:rPr>
      <w:color w:val="808080"/>
    </w:rPr>
  </w:style>
  <w:style w:type="paragraph" w:customStyle="1" w:styleId="68AE3DBC765E41C4A287356638830B92">
    <w:name w:val="68AE3DBC765E41C4A287356638830B92"/>
    <w:rsid w:val="00DD22B7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52AE3380BB649F0A39A24B5AB928034">
    <w:name w:val="652AE3380BB649F0A39A24B5AB928034"/>
    <w:rsid w:val="00DD22B7"/>
  </w:style>
  <w:style w:type="paragraph" w:customStyle="1" w:styleId="03205942B60548B7B6A41217A60B0495">
    <w:name w:val="03205942B60548B7B6A41217A60B0495"/>
    <w:rsid w:val="00DD22B7"/>
  </w:style>
  <w:style w:type="paragraph" w:customStyle="1" w:styleId="C1A4A73CDD5A4798ACF402C90F3FFFB2">
    <w:name w:val="C1A4A73CDD5A4798ACF402C90F3FFFB2"/>
    <w:rsid w:val="00DD22B7"/>
  </w:style>
  <w:style w:type="paragraph" w:customStyle="1" w:styleId="DAF530E510C24530A4F2DDEBE0E94F17">
    <w:name w:val="DAF530E510C24530A4F2DDEBE0E94F17"/>
    <w:rsid w:val="00DD22B7"/>
  </w:style>
  <w:style w:type="paragraph" w:customStyle="1" w:styleId="CA791BE4124B4631B951D2D4D04FB522">
    <w:name w:val="CA791BE4124B4631B951D2D4D04FB522"/>
    <w:rsid w:val="00DD22B7"/>
  </w:style>
  <w:style w:type="paragraph" w:customStyle="1" w:styleId="574AEE83228E44298A6C18A3E8C7B12C">
    <w:name w:val="574AEE83228E44298A6C18A3E8C7B12C"/>
    <w:rsid w:val="00DD22B7"/>
  </w:style>
  <w:style w:type="paragraph" w:customStyle="1" w:styleId="B1D4523AD69145EBBC4100CC121FEDD8">
    <w:name w:val="B1D4523AD69145EBBC4100CC121FEDD8"/>
    <w:rsid w:val="00DD22B7"/>
  </w:style>
  <w:style w:type="paragraph" w:customStyle="1" w:styleId="1EE39CAA5B9B47F294F28E71D3B2140F">
    <w:name w:val="1EE39CAA5B9B47F294F28E71D3B2140F"/>
    <w:rsid w:val="00DD22B7"/>
  </w:style>
  <w:style w:type="paragraph" w:customStyle="1" w:styleId="21421BD9C9CB432E8B198206F20DD4E0">
    <w:name w:val="21421BD9C9CB432E8B198206F20DD4E0"/>
    <w:rsid w:val="00DD22B7"/>
  </w:style>
  <w:style w:type="paragraph" w:customStyle="1" w:styleId="306CFA1043234BC3BB1590559AB90887">
    <w:name w:val="306CFA1043234BC3BB1590559AB90887"/>
    <w:rsid w:val="00DD22B7"/>
  </w:style>
  <w:style w:type="paragraph" w:customStyle="1" w:styleId="B055F859CE0F4F63959527E9186B2141">
    <w:name w:val="B055F859CE0F4F63959527E9186B2141"/>
    <w:rsid w:val="00DD22B7"/>
  </w:style>
  <w:style w:type="paragraph" w:customStyle="1" w:styleId="1B1517BDCCF84A3EB46A7CFF730AB0F1">
    <w:name w:val="1B1517BDCCF84A3EB46A7CFF730AB0F1"/>
    <w:rsid w:val="00DD22B7"/>
  </w:style>
  <w:style w:type="paragraph" w:customStyle="1" w:styleId="2B74F9921F2F48E4B412C78C66025430">
    <w:name w:val="2B74F9921F2F48E4B412C78C66025430"/>
    <w:rsid w:val="00DD22B7"/>
  </w:style>
  <w:style w:type="paragraph" w:customStyle="1" w:styleId="ECAB991B026A482E91B3184AFE6DAC01">
    <w:name w:val="ECAB991B026A482E91B3184AFE6DAC01"/>
    <w:rsid w:val="00DD22B7"/>
  </w:style>
  <w:style w:type="paragraph" w:customStyle="1" w:styleId="6A80E9C93CEB40FAA7C6181BB26B55AA">
    <w:name w:val="6A80E9C93CEB40FAA7C6181BB26B55AA"/>
    <w:rsid w:val="00DD22B7"/>
  </w:style>
  <w:style w:type="paragraph" w:customStyle="1" w:styleId="DFAA4B45B095495EACCF2A6557CFF74F">
    <w:name w:val="DFAA4B45B095495EACCF2A6557CFF74F"/>
    <w:rsid w:val="00DD22B7"/>
  </w:style>
  <w:style w:type="paragraph" w:customStyle="1" w:styleId="87DD9372D70744EBBD9572671BEA959F">
    <w:name w:val="87DD9372D70744EBBD9572671BEA959F"/>
    <w:rsid w:val="00DD22B7"/>
  </w:style>
  <w:style w:type="paragraph" w:customStyle="1" w:styleId="CBE97B4323E641DB8DCF3F093F3C4087">
    <w:name w:val="CBE97B4323E641DB8DCF3F093F3C4087"/>
    <w:rsid w:val="00DD22B7"/>
  </w:style>
  <w:style w:type="paragraph" w:customStyle="1" w:styleId="30C5A72CAFDC49CD81DDCBDB550100BA">
    <w:name w:val="30C5A72CAFDC49CD81DDCBDB550100BA"/>
    <w:rsid w:val="00DD22B7"/>
  </w:style>
  <w:style w:type="paragraph" w:customStyle="1" w:styleId="2B32FE4BF42740AD86F29581991BCA2D">
    <w:name w:val="2B32FE4BF42740AD86F29581991BCA2D"/>
    <w:rsid w:val="00DD22B7"/>
  </w:style>
  <w:style w:type="paragraph" w:customStyle="1" w:styleId="C93DEEC6B0C04247A44F612AC8CA9668">
    <w:name w:val="C93DEEC6B0C04247A44F612AC8CA9668"/>
    <w:rsid w:val="00DD2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5" ma:contentTypeDescription="Crie um novo documento." ma:contentTypeScope="" ma:versionID="125bc996b5b233dbb6b5183f9e519957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ea0be047ad6066f46553e26f6fcc42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4932E-E215-49D9-9D28-D346DE33E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60080-68E2-4423-A84E-F8800868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29B74-64F8-478A-B55B-3547105817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604AFC-A880-4C38-815E-E82A4DE74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LibreOffice/6.4.0.3$Windows_X86_64 LibreOffice_project/b0a288ab3d2d4774cb44b62f04d5d28733ac6df8</Application>
  <Pages>4</Pages>
  <Words>1234</Words>
  <Characters>6883</Characters>
  <CharactersWithSpaces>8094</CharactersWithSpaces>
  <Paragraphs>83</Paragraphs>
  <Company>AGU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2020-05-22T18:34:00Z</dcterms:created>
  <dc:creator>PC</dc:creator>
  <dc:description/>
  <dc:language>pt-BR</dc:language>
  <cp:lastModifiedBy/>
  <cp:lastPrinted>2019-08-22T14:02:00Z</cp:lastPrinted>
  <dcterms:modified xsi:type="dcterms:W3CDTF">2024-04-18T14:57:27Z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AGU</vt:lpwstr>
  </property>
  <property fmtid="{D5CDD505-2E9C-101B-9397-08002B2CF9AE}" pid="4" name="ContentTypeId">
    <vt:lpwstr>0x01010012A2765E7DFD38469B2E626874CD0041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